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B86C" w14:textId="77777777" w:rsidR="00E34FB8" w:rsidRPr="00E34FB8" w:rsidRDefault="00E34FB8" w:rsidP="00E34FB8">
      <w:pPr>
        <w:bidi w:val="0"/>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E34FB8">
        <w:rPr>
          <w:rFonts w:ascii="Times New Roman" w:eastAsia="Times New Roman" w:hAnsi="Times New Roman" w:cs="Times New Roman"/>
          <w:b/>
          <w:bCs/>
          <w:kern w:val="36"/>
          <w:sz w:val="48"/>
          <w:szCs w:val="48"/>
          <w14:ligatures w14:val="none"/>
        </w:rPr>
        <w:t>Environmental risk factors, protective factors, and peripheral biomarkers for ADHD: an umbrella review</w:t>
      </w:r>
    </w:p>
    <w:p w14:paraId="764BBC0E" w14:textId="77777777" w:rsidR="00E34FB8" w:rsidRPr="00E34FB8" w:rsidRDefault="00E34FB8" w:rsidP="00E34FB8">
      <w:pPr>
        <w:bidi w:val="0"/>
        <w:spacing w:after="0" w:line="240" w:lineRule="auto"/>
        <w:rPr>
          <w:rFonts w:ascii="Times New Roman" w:eastAsia="Times New Roman" w:hAnsi="Times New Roman" w:cs="Times New Roman"/>
          <w:kern w:val="0"/>
          <w:sz w:val="24"/>
          <w:szCs w:val="24"/>
          <w14:ligatures w14:val="none"/>
        </w:rPr>
      </w:pPr>
      <w:r w:rsidRPr="00E34FB8">
        <w:rPr>
          <w:rFonts w:ascii="Times New Roman" w:eastAsia="Times New Roman" w:hAnsi="Times New Roman" w:cs="Times New Roman"/>
          <w:kern w:val="0"/>
          <w:sz w:val="24"/>
          <w:szCs w:val="24"/>
          <w14:ligatures w14:val="none"/>
        </w:rPr>
        <w:t>Author links open overlay panel</w:t>
      </w:r>
    </w:p>
    <w:p w14:paraId="527A6776" w14:textId="77777777" w:rsidR="00E34FB8" w:rsidRPr="00E34FB8" w:rsidRDefault="00E34FB8" w:rsidP="00E34FB8">
      <w:pPr>
        <w:bidi w:val="0"/>
        <w:spacing w:after="0" w:line="240" w:lineRule="auto"/>
        <w:rPr>
          <w:rFonts w:ascii="Times New Roman" w:eastAsia="Times New Roman" w:hAnsi="Times New Roman" w:cs="Times New Roman"/>
          <w:kern w:val="0"/>
          <w:sz w:val="24"/>
          <w:szCs w:val="24"/>
          <w14:ligatures w14:val="none"/>
        </w:rPr>
      </w:pPr>
      <w:r w:rsidRPr="00E34FB8">
        <w:rPr>
          <w:rFonts w:ascii="Times New Roman" w:eastAsia="Times New Roman" w:hAnsi="Times New Roman" w:cs="Times New Roman"/>
          <w:kern w:val="0"/>
          <w:sz w:val="24"/>
          <w:szCs w:val="24"/>
          <w14:ligatures w14:val="none"/>
        </w:rPr>
        <w:t xml:space="preserve">, , , , , , , , , , </w:t>
      </w:r>
      <w:bookmarkStart w:id="0" w:name="bau110-profile"/>
      <w:r w:rsidRPr="00E34FB8">
        <w:rPr>
          <w:rFonts w:ascii="Times New Roman" w:eastAsia="Times New Roman" w:hAnsi="Times New Roman" w:cs="Times New Roman"/>
          <w:kern w:val="0"/>
          <w:sz w:val="24"/>
          <w:szCs w:val="24"/>
          <w14:ligatures w14:val="none"/>
        </w:rPr>
        <w:fldChar w:fldCharType="begin"/>
      </w:r>
      <w:r w:rsidRPr="00E34FB8">
        <w:rPr>
          <w:rFonts w:ascii="Times New Roman" w:eastAsia="Times New Roman" w:hAnsi="Times New Roman" w:cs="Times New Roman"/>
          <w:kern w:val="0"/>
          <w:sz w:val="24"/>
          <w:szCs w:val="24"/>
          <w14:ligatures w14:val="none"/>
        </w:rPr>
        <w:instrText>HYPERLINK "https://www.sciencedirect.com/author/57197741912/ai-koyanagi"</w:instrText>
      </w:r>
      <w:r w:rsidRPr="00E34FB8">
        <w:rPr>
          <w:rFonts w:ascii="Times New Roman" w:eastAsia="Times New Roman" w:hAnsi="Times New Roman" w:cs="Times New Roman"/>
          <w:kern w:val="0"/>
          <w:sz w:val="24"/>
          <w:szCs w:val="24"/>
          <w14:ligatures w14:val="none"/>
        </w:rPr>
      </w:r>
      <w:r w:rsidRPr="00E34FB8">
        <w:rPr>
          <w:rFonts w:ascii="Times New Roman" w:eastAsia="Times New Roman" w:hAnsi="Times New Roman" w:cs="Times New Roman"/>
          <w:kern w:val="0"/>
          <w:sz w:val="24"/>
          <w:szCs w:val="24"/>
          <w14:ligatures w14:val="none"/>
        </w:rPr>
        <w:fldChar w:fldCharType="separate"/>
      </w:r>
      <w:r w:rsidRPr="00E34FB8">
        <w:rPr>
          <w:rFonts w:ascii="Times New Roman" w:eastAsia="Times New Roman" w:hAnsi="Times New Roman" w:cs="Times New Roman"/>
          <w:color w:val="0000FF"/>
          <w:kern w:val="0"/>
          <w:sz w:val="24"/>
          <w:szCs w:val="24"/>
          <w:u w:val="single"/>
          <w14:ligatures w14:val="none"/>
        </w:rPr>
        <w:t xml:space="preserve">Ai Koyanagi MD </w:t>
      </w:r>
      <w:r w:rsidRPr="00E34FB8">
        <w:rPr>
          <w:rFonts w:ascii="Times New Roman" w:eastAsia="Times New Roman" w:hAnsi="Times New Roman" w:cs="Times New Roman"/>
          <w:color w:val="0000FF"/>
          <w:kern w:val="0"/>
          <w:sz w:val="24"/>
          <w:szCs w:val="24"/>
          <w:u w:val="single"/>
          <w:vertAlign w:val="superscript"/>
          <w14:ligatures w14:val="none"/>
        </w:rPr>
        <w:t>r</w:t>
      </w:r>
      <w:r w:rsidRPr="00E34FB8">
        <w:rPr>
          <w:rFonts w:ascii="Times New Roman" w:eastAsia="Times New Roman" w:hAnsi="Times New Roman" w:cs="Times New Roman"/>
          <w:kern w:val="0"/>
          <w:sz w:val="24"/>
          <w:szCs w:val="24"/>
          <w14:ligatures w14:val="none"/>
        </w:rPr>
        <w:fldChar w:fldCharType="end"/>
      </w:r>
      <w:bookmarkEnd w:id="0"/>
      <w:r w:rsidRPr="00E34FB8">
        <w:rPr>
          <w:rFonts w:ascii="Times New Roman" w:eastAsia="Times New Roman" w:hAnsi="Times New Roman" w:cs="Times New Roman"/>
          <w:kern w:val="0"/>
          <w:sz w:val="24"/>
          <w:szCs w:val="24"/>
          <w14:ligatures w14:val="none"/>
        </w:rPr>
        <w:t xml:space="preserve">, , , </w:t>
      </w:r>
      <w:bookmarkStart w:id="1" w:name="bau140-profile"/>
      <w:r w:rsidRPr="00E34FB8">
        <w:rPr>
          <w:rFonts w:ascii="Times New Roman" w:eastAsia="Times New Roman" w:hAnsi="Times New Roman" w:cs="Times New Roman"/>
          <w:kern w:val="0"/>
          <w:sz w:val="24"/>
          <w:szCs w:val="24"/>
          <w14:ligatures w14:val="none"/>
        </w:rPr>
        <w:fldChar w:fldCharType="begin"/>
      </w:r>
      <w:r w:rsidRPr="00E34FB8">
        <w:rPr>
          <w:rFonts w:ascii="Times New Roman" w:eastAsia="Times New Roman" w:hAnsi="Times New Roman" w:cs="Times New Roman"/>
          <w:kern w:val="0"/>
          <w:sz w:val="24"/>
          <w:szCs w:val="24"/>
          <w14:ligatures w14:val="none"/>
        </w:rPr>
        <w:instrText>HYPERLINK "https://www.sciencedirect.com/author/56779678900/louis-jacob"</w:instrText>
      </w:r>
      <w:r w:rsidRPr="00E34FB8">
        <w:rPr>
          <w:rFonts w:ascii="Times New Roman" w:eastAsia="Times New Roman" w:hAnsi="Times New Roman" w:cs="Times New Roman"/>
          <w:kern w:val="0"/>
          <w:sz w:val="24"/>
          <w:szCs w:val="24"/>
          <w14:ligatures w14:val="none"/>
        </w:rPr>
      </w:r>
      <w:r w:rsidRPr="00E34FB8">
        <w:rPr>
          <w:rFonts w:ascii="Times New Roman" w:eastAsia="Times New Roman" w:hAnsi="Times New Roman" w:cs="Times New Roman"/>
          <w:kern w:val="0"/>
          <w:sz w:val="24"/>
          <w:szCs w:val="24"/>
          <w14:ligatures w14:val="none"/>
        </w:rPr>
        <w:fldChar w:fldCharType="separate"/>
      </w:r>
      <w:r w:rsidRPr="00E34FB8">
        <w:rPr>
          <w:rFonts w:ascii="Times New Roman" w:eastAsia="Times New Roman" w:hAnsi="Times New Roman" w:cs="Times New Roman"/>
          <w:color w:val="0000FF"/>
          <w:kern w:val="0"/>
          <w:sz w:val="24"/>
          <w:szCs w:val="24"/>
          <w:u w:val="single"/>
          <w14:ligatures w14:val="none"/>
        </w:rPr>
        <w:t xml:space="preserve">Louis Jacob PhD </w:t>
      </w:r>
      <w:r w:rsidRPr="00E34FB8">
        <w:rPr>
          <w:rFonts w:ascii="Times New Roman" w:eastAsia="Times New Roman" w:hAnsi="Times New Roman" w:cs="Times New Roman"/>
          <w:color w:val="0000FF"/>
          <w:kern w:val="0"/>
          <w:sz w:val="24"/>
          <w:szCs w:val="24"/>
          <w:u w:val="single"/>
          <w:vertAlign w:val="superscript"/>
          <w14:ligatures w14:val="none"/>
        </w:rPr>
        <w:t>q</w:t>
      </w:r>
      <w:r w:rsidRPr="00E34FB8">
        <w:rPr>
          <w:rFonts w:ascii="Times New Roman" w:eastAsia="Times New Roman" w:hAnsi="Times New Roman" w:cs="Times New Roman"/>
          <w:color w:val="0000FF"/>
          <w:kern w:val="0"/>
          <w:sz w:val="24"/>
          <w:szCs w:val="24"/>
          <w:u w:val="single"/>
          <w14:ligatures w14:val="none"/>
        </w:rPr>
        <w:t xml:space="preserve"> </w:t>
      </w:r>
      <w:r w:rsidRPr="00E34FB8">
        <w:rPr>
          <w:rFonts w:ascii="Times New Roman" w:eastAsia="Times New Roman" w:hAnsi="Times New Roman" w:cs="Times New Roman"/>
          <w:color w:val="0000FF"/>
          <w:kern w:val="0"/>
          <w:sz w:val="24"/>
          <w:szCs w:val="24"/>
          <w:u w:val="single"/>
          <w:vertAlign w:val="superscript"/>
          <w14:ligatures w14:val="none"/>
        </w:rPr>
        <w:t>u</w:t>
      </w:r>
      <w:r w:rsidRPr="00E34FB8">
        <w:rPr>
          <w:rFonts w:ascii="Times New Roman" w:eastAsia="Times New Roman" w:hAnsi="Times New Roman" w:cs="Times New Roman"/>
          <w:kern w:val="0"/>
          <w:sz w:val="24"/>
          <w:szCs w:val="24"/>
          <w14:ligatures w14:val="none"/>
        </w:rPr>
        <w:fldChar w:fldCharType="end"/>
      </w:r>
      <w:bookmarkEnd w:id="1"/>
      <w:r w:rsidRPr="00E34FB8">
        <w:rPr>
          <w:rFonts w:ascii="Times New Roman" w:eastAsia="Times New Roman" w:hAnsi="Times New Roman" w:cs="Times New Roman"/>
          <w:kern w:val="0"/>
          <w:sz w:val="24"/>
          <w:szCs w:val="24"/>
          <w14:ligatures w14:val="none"/>
        </w:rPr>
        <w:t>, , , , , , …</w:t>
      </w:r>
    </w:p>
    <w:p w14:paraId="3CDFF5CE" w14:textId="77777777" w:rsidR="00E34FB8" w:rsidRPr="00E34FB8" w:rsidRDefault="00E34FB8" w:rsidP="00E34FB8">
      <w:pPr>
        <w:bidi w:val="0"/>
        <w:spacing w:after="0" w:line="240" w:lineRule="auto"/>
        <w:rPr>
          <w:rFonts w:ascii="Times New Roman" w:eastAsia="Times New Roman" w:hAnsi="Times New Roman" w:cs="Times New Roman"/>
          <w:kern w:val="0"/>
          <w:sz w:val="24"/>
          <w:szCs w:val="24"/>
          <w14:ligatures w14:val="none"/>
        </w:rPr>
      </w:pPr>
      <w:hyperlink r:id="rId4" w:tgtFrame="_blank" w:tooltip="Persistent link using digital object identifier" w:history="1">
        <w:r w:rsidRPr="00E34FB8">
          <w:rPr>
            <w:rFonts w:ascii="Times New Roman" w:eastAsia="Times New Roman" w:hAnsi="Times New Roman" w:cs="Times New Roman"/>
            <w:color w:val="0000FF"/>
            <w:kern w:val="0"/>
            <w:sz w:val="24"/>
            <w:szCs w:val="24"/>
            <w:u w:val="single"/>
            <w14:ligatures w14:val="none"/>
          </w:rPr>
          <w:t>https://doi.org/10.1016/S2215-0366(20)30312-6</w:t>
        </w:r>
      </w:hyperlink>
      <w:hyperlink r:id="rId5" w:tgtFrame="_blank" w:history="1">
        <w:r w:rsidRPr="00E34FB8">
          <w:rPr>
            <w:rFonts w:ascii="Times New Roman" w:eastAsia="Times New Roman" w:hAnsi="Times New Roman" w:cs="Times New Roman"/>
            <w:color w:val="0000FF"/>
            <w:kern w:val="0"/>
            <w:sz w:val="24"/>
            <w:szCs w:val="24"/>
            <w:u w:val="single"/>
            <w14:ligatures w14:val="none"/>
          </w:rPr>
          <w:t>Get rights and content</w:t>
        </w:r>
      </w:hyperlink>
    </w:p>
    <w:p w14:paraId="76E5B4CD" w14:textId="77777777" w:rsidR="00E34FB8" w:rsidRPr="00E34FB8" w:rsidRDefault="00E34FB8" w:rsidP="00E34FB8">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34FB8">
        <w:rPr>
          <w:rFonts w:ascii="Times New Roman" w:eastAsia="Times New Roman" w:hAnsi="Times New Roman" w:cs="Times New Roman"/>
          <w:b/>
          <w:bCs/>
          <w:kern w:val="0"/>
          <w:sz w:val="36"/>
          <w:szCs w:val="36"/>
          <w14:ligatures w14:val="none"/>
        </w:rPr>
        <w:t>Summary</w:t>
      </w:r>
    </w:p>
    <w:p w14:paraId="65561BEC" w14:textId="77777777" w:rsidR="00E34FB8" w:rsidRPr="00E34FB8" w:rsidRDefault="00E34FB8" w:rsidP="00E34FB8">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4FB8">
        <w:rPr>
          <w:rFonts w:ascii="Times New Roman" w:eastAsia="Times New Roman" w:hAnsi="Times New Roman" w:cs="Times New Roman"/>
          <w:b/>
          <w:bCs/>
          <w:kern w:val="0"/>
          <w:sz w:val="27"/>
          <w:szCs w:val="27"/>
          <w14:ligatures w14:val="none"/>
        </w:rPr>
        <w:t>Background</w:t>
      </w:r>
    </w:p>
    <w:p w14:paraId="337A2BE4" w14:textId="77777777" w:rsidR="00E34FB8" w:rsidRPr="00E34FB8" w:rsidRDefault="00E34FB8" w:rsidP="00E34FB8">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E34FB8">
        <w:rPr>
          <w:rFonts w:ascii="Times New Roman" w:eastAsia="Times New Roman" w:hAnsi="Times New Roman" w:cs="Times New Roman"/>
          <w:kern w:val="0"/>
          <w:sz w:val="24"/>
          <w:szCs w:val="24"/>
          <w14:ligatures w14:val="none"/>
        </w:rPr>
        <w:t xml:space="preserve">Many potential environmental risk factors, environmental protective factors, and peripheral biomarkers for </w:t>
      </w:r>
      <w:hyperlink r:id="rId6" w:tooltip="Learn more about ADHD from ScienceDirect's AI-generated Topic Pages" w:history="1">
        <w:r w:rsidRPr="00E34FB8">
          <w:rPr>
            <w:rFonts w:ascii="Times New Roman" w:eastAsia="Times New Roman" w:hAnsi="Times New Roman" w:cs="Times New Roman"/>
            <w:color w:val="0000FF"/>
            <w:kern w:val="0"/>
            <w:sz w:val="24"/>
            <w:szCs w:val="24"/>
            <w:u w:val="single"/>
            <w14:ligatures w14:val="none"/>
          </w:rPr>
          <w:t>ADHD</w:t>
        </w:r>
      </w:hyperlink>
      <w:r w:rsidRPr="00E34FB8">
        <w:rPr>
          <w:rFonts w:ascii="Times New Roman" w:eastAsia="Times New Roman" w:hAnsi="Times New Roman" w:cs="Times New Roman"/>
          <w:kern w:val="0"/>
          <w:sz w:val="24"/>
          <w:szCs w:val="24"/>
          <w14:ligatures w14:val="none"/>
        </w:rPr>
        <w:t xml:space="preserve"> have been investigated, but the consistency and magnitude of their effects are unclear. We aimed to systematically appraise the published evidence of association between potential risk factors, protective factors, or peripheral biomarkers, and ADHD.</w:t>
      </w:r>
    </w:p>
    <w:p w14:paraId="70F286AB" w14:textId="77777777" w:rsidR="00E34FB8" w:rsidRPr="00E34FB8" w:rsidRDefault="00E34FB8" w:rsidP="00E34FB8">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4FB8">
        <w:rPr>
          <w:rFonts w:ascii="Times New Roman" w:eastAsia="Times New Roman" w:hAnsi="Times New Roman" w:cs="Times New Roman"/>
          <w:b/>
          <w:bCs/>
          <w:kern w:val="0"/>
          <w:sz w:val="27"/>
          <w:szCs w:val="27"/>
          <w14:ligatures w14:val="none"/>
        </w:rPr>
        <w:t>Methods</w:t>
      </w:r>
    </w:p>
    <w:p w14:paraId="23253AD8" w14:textId="77777777" w:rsidR="00E34FB8" w:rsidRPr="00E34FB8" w:rsidRDefault="00E34FB8" w:rsidP="00E34FB8">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E34FB8">
        <w:rPr>
          <w:rFonts w:ascii="Times New Roman" w:eastAsia="Times New Roman" w:hAnsi="Times New Roman" w:cs="Times New Roman"/>
          <w:kern w:val="0"/>
          <w:sz w:val="24"/>
          <w:szCs w:val="24"/>
          <w14:ligatures w14:val="none"/>
        </w:rPr>
        <w:t xml:space="preserve">In this umbrella review of meta-analyses, we searched PubMed including MEDLINE, Embase, and the Cochrane Database of </w:t>
      </w:r>
      <w:hyperlink r:id="rId7" w:tooltip="Learn more about Systematic Reviews from ScienceDirect's AI-generated Topic Pages" w:history="1">
        <w:r w:rsidRPr="00E34FB8">
          <w:rPr>
            <w:rFonts w:ascii="Times New Roman" w:eastAsia="Times New Roman" w:hAnsi="Times New Roman" w:cs="Times New Roman"/>
            <w:color w:val="0000FF"/>
            <w:kern w:val="0"/>
            <w:sz w:val="24"/>
            <w:szCs w:val="24"/>
            <w:u w:val="single"/>
            <w14:ligatures w14:val="none"/>
          </w:rPr>
          <w:t>Systematic Reviews</w:t>
        </w:r>
      </w:hyperlink>
      <w:r w:rsidRPr="00E34FB8">
        <w:rPr>
          <w:rFonts w:ascii="Times New Roman" w:eastAsia="Times New Roman" w:hAnsi="Times New Roman" w:cs="Times New Roman"/>
          <w:kern w:val="0"/>
          <w:sz w:val="24"/>
          <w:szCs w:val="24"/>
          <w14:ligatures w14:val="none"/>
        </w:rPr>
        <w:t xml:space="preserve">, from database inception to Oct 31, 2019, and screened the references of relevant articles. We included systematic reviews that provided meta-analyses of observational studies that examined associations of potential environmental risk factors, environmental protective factors, or peripheral biomarkers with diagnosis of ADHD. We included meta-analyses that used categorical ADHD diagnosis criteria according to DSM, </w:t>
      </w:r>
      <w:hyperlink r:id="rId8" w:tooltip="Learn more about hyperkinetic disorder from ScienceDirect's AI-generated Topic Pages" w:history="1">
        <w:r w:rsidRPr="00E34FB8">
          <w:rPr>
            <w:rFonts w:ascii="Times New Roman" w:eastAsia="Times New Roman" w:hAnsi="Times New Roman" w:cs="Times New Roman"/>
            <w:color w:val="0000FF"/>
            <w:kern w:val="0"/>
            <w:sz w:val="24"/>
            <w:szCs w:val="24"/>
            <w:u w:val="single"/>
            <w14:ligatures w14:val="none"/>
          </w:rPr>
          <w:t>hyperkinetic disorder</w:t>
        </w:r>
      </w:hyperlink>
      <w:r w:rsidRPr="00E34FB8">
        <w:rPr>
          <w:rFonts w:ascii="Times New Roman" w:eastAsia="Times New Roman" w:hAnsi="Times New Roman" w:cs="Times New Roman"/>
          <w:kern w:val="0"/>
          <w:sz w:val="24"/>
          <w:szCs w:val="24"/>
          <w14:ligatures w14:val="none"/>
        </w:rPr>
        <w:t xml:space="preserve"> according to ICD, or criteria that were less rigorous than DSM or ICD, such as self-report. We excluded articles that did not examine environmental risk factors, environmental protective factors, or peripheral biomarkers of ADHD; articles that did not include a meta-analysis; and articles that did not present enough data for re-analysis. We excluded non-human studies, primary studies, genetic studies, and conference abstracts. We calculated summary effect estimates (odds ratio [OR], relative risk [RR], weighted mean difference [WMD], Cohen's d, and Hedges' g), 95% CI, heterogeneity </w:t>
      </w:r>
      <w:r w:rsidRPr="00E34FB8">
        <w:rPr>
          <w:rFonts w:ascii="Times New Roman" w:eastAsia="Times New Roman" w:hAnsi="Times New Roman" w:cs="Times New Roman"/>
          <w:i/>
          <w:iCs/>
          <w:kern w:val="0"/>
          <w:sz w:val="24"/>
          <w:szCs w:val="24"/>
          <w14:ligatures w14:val="none"/>
        </w:rPr>
        <w:t>I</w:t>
      </w:r>
      <w:r w:rsidRPr="00E34FB8">
        <w:rPr>
          <w:rFonts w:ascii="Times New Roman" w:eastAsia="Times New Roman" w:hAnsi="Times New Roman" w:cs="Times New Roman"/>
          <w:kern w:val="0"/>
          <w:sz w:val="24"/>
          <w:szCs w:val="24"/>
          <w:vertAlign w:val="superscript"/>
          <w14:ligatures w14:val="none"/>
        </w:rPr>
        <w:t>2</w:t>
      </w:r>
      <w:r w:rsidRPr="00E34FB8">
        <w:rPr>
          <w:rFonts w:ascii="Times New Roman" w:eastAsia="Times New Roman" w:hAnsi="Times New Roman" w:cs="Times New Roman"/>
          <w:kern w:val="0"/>
          <w:sz w:val="24"/>
          <w:szCs w:val="24"/>
          <w14:ligatures w14:val="none"/>
        </w:rPr>
        <w:t xml:space="preserve"> statistic, 95% prediction interval, small study effects, and excess significance biases. We did analyses under credibility ceilings, and assessed the quality of the meta-analyses with AMSTAR 2 (A Measurement Tool to Assess Systematic Reviews 2). This study is registered with PROSPERO, number CRD42019145032.</w:t>
      </w:r>
    </w:p>
    <w:p w14:paraId="664F3986" w14:textId="77777777" w:rsidR="00E34FB8" w:rsidRPr="00E34FB8" w:rsidRDefault="00E34FB8" w:rsidP="00E34FB8">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4FB8">
        <w:rPr>
          <w:rFonts w:ascii="Times New Roman" w:eastAsia="Times New Roman" w:hAnsi="Times New Roman" w:cs="Times New Roman"/>
          <w:b/>
          <w:bCs/>
          <w:kern w:val="0"/>
          <w:sz w:val="27"/>
          <w:szCs w:val="27"/>
          <w14:ligatures w14:val="none"/>
        </w:rPr>
        <w:t>Findings</w:t>
      </w:r>
    </w:p>
    <w:p w14:paraId="085EA758" w14:textId="77777777" w:rsidR="00E34FB8" w:rsidRPr="00E34FB8" w:rsidRDefault="00E34FB8" w:rsidP="00E34FB8">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E34FB8">
        <w:rPr>
          <w:rFonts w:ascii="Times New Roman" w:eastAsia="Times New Roman" w:hAnsi="Times New Roman" w:cs="Times New Roman"/>
          <w:kern w:val="0"/>
          <w:sz w:val="24"/>
          <w:szCs w:val="24"/>
          <w14:ligatures w14:val="none"/>
        </w:rPr>
        <w:t xml:space="preserve">We identified 1839 articles, of which 35 were eligible for inclusion. These 35 articles yielded 63 meta-analyses encompassing 40 environmental risk factors and environmental protective factors (median cases 16 850, median population 91 954) and 23 peripheral biomarkers (median cases 175, median controls 187). Evidence of association was convincing (class I) for maternal pre-pregnancy obesity (OR 1·63, 95% CI 1·49 to 1·77), childhood </w:t>
      </w:r>
      <w:hyperlink r:id="rId9" w:tooltip="Learn more about eczema from ScienceDirect's AI-generated Topic Pages" w:history="1">
        <w:r w:rsidRPr="00E34FB8">
          <w:rPr>
            <w:rFonts w:ascii="Times New Roman" w:eastAsia="Times New Roman" w:hAnsi="Times New Roman" w:cs="Times New Roman"/>
            <w:color w:val="0000FF"/>
            <w:kern w:val="0"/>
            <w:sz w:val="24"/>
            <w:szCs w:val="24"/>
            <w:u w:val="single"/>
            <w14:ligatures w14:val="none"/>
          </w:rPr>
          <w:t>eczema</w:t>
        </w:r>
      </w:hyperlink>
      <w:r w:rsidRPr="00E34FB8">
        <w:rPr>
          <w:rFonts w:ascii="Times New Roman" w:eastAsia="Times New Roman" w:hAnsi="Times New Roman" w:cs="Times New Roman"/>
          <w:kern w:val="0"/>
          <w:sz w:val="24"/>
          <w:szCs w:val="24"/>
          <w14:ligatures w14:val="none"/>
        </w:rPr>
        <w:t xml:space="preserve"> (1·31, 1·20 to 1·44), hypertensive disorders during pregnancy (1·29, 1·22 to 1·36), pre-</w:t>
      </w:r>
      <w:r w:rsidRPr="00E34FB8">
        <w:rPr>
          <w:rFonts w:ascii="Times New Roman" w:eastAsia="Times New Roman" w:hAnsi="Times New Roman" w:cs="Times New Roman"/>
          <w:kern w:val="0"/>
          <w:sz w:val="24"/>
          <w:szCs w:val="24"/>
          <w14:ligatures w14:val="none"/>
        </w:rPr>
        <w:lastRenderedPageBreak/>
        <w:t xml:space="preserve">eclampsia (1·28, 1·21 to 1·35), and maternal </w:t>
      </w:r>
      <w:hyperlink r:id="rId10" w:tooltip="Learn more about acetaminophen from ScienceDirect's AI-generated Topic Pages" w:history="1">
        <w:r w:rsidRPr="00E34FB8">
          <w:rPr>
            <w:rFonts w:ascii="Times New Roman" w:eastAsia="Times New Roman" w:hAnsi="Times New Roman" w:cs="Times New Roman"/>
            <w:color w:val="0000FF"/>
            <w:kern w:val="0"/>
            <w:sz w:val="24"/>
            <w:szCs w:val="24"/>
            <w:u w:val="single"/>
            <w14:ligatures w14:val="none"/>
          </w:rPr>
          <w:t>acetaminophen</w:t>
        </w:r>
      </w:hyperlink>
      <w:r w:rsidRPr="00E34FB8">
        <w:rPr>
          <w:rFonts w:ascii="Times New Roman" w:eastAsia="Times New Roman" w:hAnsi="Times New Roman" w:cs="Times New Roman"/>
          <w:kern w:val="0"/>
          <w:sz w:val="24"/>
          <w:szCs w:val="24"/>
          <w14:ligatures w14:val="none"/>
        </w:rPr>
        <w:t xml:space="preserve"> exposure during pregnancy (RR 1·25, 95% CI 1·17 to 1·34). Evidence of association was highly suggestive (class II) for maternal smoking during pregnancy (OR 1·6, 95% CI 1·45 to 1·76), childhood asthma (1·51, 1·4 to 1·63), maternal pre-pregnancy overweight (1·28, 1·21 to 1·35), and serum </w:t>
      </w:r>
      <w:hyperlink r:id="rId11" w:tooltip="Learn more about vitamin D from ScienceDirect's AI-generated Topic Pages" w:history="1">
        <w:r w:rsidRPr="00E34FB8">
          <w:rPr>
            <w:rFonts w:ascii="Times New Roman" w:eastAsia="Times New Roman" w:hAnsi="Times New Roman" w:cs="Times New Roman"/>
            <w:color w:val="0000FF"/>
            <w:kern w:val="0"/>
            <w:sz w:val="24"/>
            <w:szCs w:val="24"/>
            <w:u w:val="single"/>
            <w14:ligatures w14:val="none"/>
          </w:rPr>
          <w:t>vitamin D</w:t>
        </w:r>
      </w:hyperlink>
      <w:r w:rsidRPr="00E34FB8">
        <w:rPr>
          <w:rFonts w:ascii="Times New Roman" w:eastAsia="Times New Roman" w:hAnsi="Times New Roman" w:cs="Times New Roman"/>
          <w:kern w:val="0"/>
          <w:sz w:val="24"/>
          <w:szCs w:val="24"/>
          <w14:ligatures w14:val="none"/>
        </w:rPr>
        <w:t xml:space="preserve"> (WMD −6·93, 95% CI −9·34 to −4·51).</w:t>
      </w:r>
    </w:p>
    <w:p w14:paraId="32469065" w14:textId="77777777" w:rsidR="00E34FB8" w:rsidRPr="00E34FB8" w:rsidRDefault="00E34FB8" w:rsidP="00E34FB8">
      <w:pPr>
        <w:bidi w:val="0"/>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E34FB8">
        <w:rPr>
          <w:rFonts w:ascii="Times New Roman" w:eastAsia="Times New Roman" w:hAnsi="Times New Roman" w:cs="Times New Roman"/>
          <w:b/>
          <w:bCs/>
          <w:kern w:val="0"/>
          <w:sz w:val="27"/>
          <w:szCs w:val="27"/>
          <w14:ligatures w14:val="none"/>
        </w:rPr>
        <w:t>Interpretation</w:t>
      </w:r>
    </w:p>
    <w:p w14:paraId="581E39B9" w14:textId="77777777" w:rsidR="00E34FB8" w:rsidRPr="00E34FB8" w:rsidRDefault="00E34FB8" w:rsidP="00E34FB8">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E34FB8">
        <w:rPr>
          <w:rFonts w:ascii="Times New Roman" w:eastAsia="Times New Roman" w:hAnsi="Times New Roman" w:cs="Times New Roman"/>
          <w:kern w:val="0"/>
          <w:sz w:val="24"/>
          <w:szCs w:val="24"/>
          <w14:ligatures w14:val="none"/>
        </w:rPr>
        <w:t xml:space="preserve">Maternal pre-pregnancy obesity and overweight; pre-eclampsia, hypertension, acetaminophen exposure, and smoking during pregnancy; and childhood </w:t>
      </w:r>
      <w:hyperlink r:id="rId12" w:tooltip="Learn more about atopic diseases from ScienceDirect's AI-generated Topic Pages" w:history="1">
        <w:r w:rsidRPr="00E34FB8">
          <w:rPr>
            <w:rFonts w:ascii="Times New Roman" w:eastAsia="Times New Roman" w:hAnsi="Times New Roman" w:cs="Times New Roman"/>
            <w:color w:val="0000FF"/>
            <w:kern w:val="0"/>
            <w:sz w:val="24"/>
            <w:szCs w:val="24"/>
            <w:u w:val="single"/>
            <w14:ligatures w14:val="none"/>
          </w:rPr>
          <w:t>atopic diseases</w:t>
        </w:r>
      </w:hyperlink>
      <w:r w:rsidRPr="00E34FB8">
        <w:rPr>
          <w:rFonts w:ascii="Times New Roman" w:eastAsia="Times New Roman" w:hAnsi="Times New Roman" w:cs="Times New Roman"/>
          <w:kern w:val="0"/>
          <w:sz w:val="24"/>
          <w:szCs w:val="24"/>
          <w14:ligatures w14:val="none"/>
        </w:rPr>
        <w:t xml:space="preserve"> were strongly associated with ADHD. Previous familial studies suggest that maternal pre-pregnancy obesity, overweight, and smoking during pregnancy are confounded by familial or </w:t>
      </w:r>
      <w:hyperlink r:id="rId13" w:tooltip="Learn more about genetic factors from ScienceDirect's AI-generated Topic Pages" w:history="1">
        <w:r w:rsidRPr="00E34FB8">
          <w:rPr>
            <w:rFonts w:ascii="Times New Roman" w:eastAsia="Times New Roman" w:hAnsi="Times New Roman" w:cs="Times New Roman"/>
            <w:color w:val="0000FF"/>
            <w:kern w:val="0"/>
            <w:sz w:val="24"/>
            <w:szCs w:val="24"/>
            <w:u w:val="single"/>
            <w14:ligatures w14:val="none"/>
          </w:rPr>
          <w:t>genetic factors</w:t>
        </w:r>
      </w:hyperlink>
      <w:r w:rsidRPr="00E34FB8">
        <w:rPr>
          <w:rFonts w:ascii="Times New Roman" w:eastAsia="Times New Roman" w:hAnsi="Times New Roman" w:cs="Times New Roman"/>
          <w:kern w:val="0"/>
          <w:sz w:val="24"/>
          <w:szCs w:val="24"/>
          <w14:ligatures w14:val="none"/>
        </w:rPr>
        <w:t>, and further high-quality studies are therefore required to establish causality.</w:t>
      </w:r>
    </w:p>
    <w:p w14:paraId="3CEE0EFB" w14:textId="77777777" w:rsidR="00CD3859" w:rsidRDefault="00CD3859">
      <w:pPr>
        <w:rPr>
          <w:rFonts w:hint="cs"/>
        </w:rPr>
      </w:pPr>
    </w:p>
    <w:sectPr w:rsidR="00CD3859" w:rsidSect="004307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B8"/>
    <w:rsid w:val="0043077F"/>
    <w:rsid w:val="00AA5C15"/>
    <w:rsid w:val="00CD3859"/>
    <w:rsid w:val="00E34F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6E45"/>
  <w15:chartTrackingRefBased/>
  <w15:docId w15:val="{9E5929DB-93F8-4264-BA1E-BF10A9ED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017">
      <w:bodyDiv w:val="1"/>
      <w:marLeft w:val="0"/>
      <w:marRight w:val="0"/>
      <w:marTop w:val="0"/>
      <w:marBottom w:val="0"/>
      <w:divBdr>
        <w:top w:val="none" w:sz="0" w:space="0" w:color="auto"/>
        <w:left w:val="none" w:sz="0" w:space="0" w:color="auto"/>
        <w:bottom w:val="none" w:sz="0" w:space="0" w:color="auto"/>
        <w:right w:val="none" w:sz="0" w:space="0" w:color="auto"/>
      </w:divBdr>
      <w:divsChild>
        <w:div w:id="2009088030">
          <w:marLeft w:val="0"/>
          <w:marRight w:val="0"/>
          <w:marTop w:val="0"/>
          <w:marBottom w:val="0"/>
          <w:divBdr>
            <w:top w:val="none" w:sz="0" w:space="0" w:color="auto"/>
            <w:left w:val="none" w:sz="0" w:space="0" w:color="auto"/>
            <w:bottom w:val="none" w:sz="0" w:space="0" w:color="auto"/>
            <w:right w:val="none" w:sz="0" w:space="0" w:color="auto"/>
          </w:divBdr>
          <w:divsChild>
            <w:div w:id="1165316758">
              <w:marLeft w:val="0"/>
              <w:marRight w:val="0"/>
              <w:marTop w:val="0"/>
              <w:marBottom w:val="0"/>
              <w:divBdr>
                <w:top w:val="none" w:sz="0" w:space="0" w:color="auto"/>
                <w:left w:val="none" w:sz="0" w:space="0" w:color="auto"/>
                <w:bottom w:val="none" w:sz="0" w:space="0" w:color="auto"/>
                <w:right w:val="none" w:sz="0" w:space="0" w:color="auto"/>
              </w:divBdr>
              <w:divsChild>
                <w:div w:id="1377318474">
                  <w:marLeft w:val="0"/>
                  <w:marRight w:val="0"/>
                  <w:marTop w:val="0"/>
                  <w:marBottom w:val="0"/>
                  <w:divBdr>
                    <w:top w:val="none" w:sz="0" w:space="0" w:color="auto"/>
                    <w:left w:val="none" w:sz="0" w:space="0" w:color="auto"/>
                    <w:bottom w:val="none" w:sz="0" w:space="0" w:color="auto"/>
                    <w:right w:val="none" w:sz="0" w:space="0" w:color="auto"/>
                  </w:divBdr>
                  <w:divsChild>
                    <w:div w:id="1013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7834">
          <w:marLeft w:val="0"/>
          <w:marRight w:val="0"/>
          <w:marTop w:val="0"/>
          <w:marBottom w:val="0"/>
          <w:divBdr>
            <w:top w:val="none" w:sz="0" w:space="0" w:color="auto"/>
            <w:left w:val="none" w:sz="0" w:space="0" w:color="auto"/>
            <w:bottom w:val="none" w:sz="0" w:space="0" w:color="auto"/>
            <w:right w:val="none" w:sz="0" w:space="0" w:color="auto"/>
          </w:divBdr>
          <w:divsChild>
            <w:div w:id="2115712778">
              <w:marLeft w:val="0"/>
              <w:marRight w:val="0"/>
              <w:marTop w:val="0"/>
              <w:marBottom w:val="0"/>
              <w:divBdr>
                <w:top w:val="none" w:sz="0" w:space="0" w:color="auto"/>
                <w:left w:val="none" w:sz="0" w:space="0" w:color="auto"/>
                <w:bottom w:val="none" w:sz="0" w:space="0" w:color="auto"/>
                <w:right w:val="none" w:sz="0" w:space="0" w:color="auto"/>
              </w:divBdr>
              <w:divsChild>
                <w:div w:id="1500006001">
                  <w:marLeft w:val="0"/>
                  <w:marRight w:val="0"/>
                  <w:marTop w:val="0"/>
                  <w:marBottom w:val="0"/>
                  <w:divBdr>
                    <w:top w:val="none" w:sz="0" w:space="0" w:color="auto"/>
                    <w:left w:val="none" w:sz="0" w:space="0" w:color="auto"/>
                    <w:bottom w:val="none" w:sz="0" w:space="0" w:color="auto"/>
                    <w:right w:val="none" w:sz="0" w:space="0" w:color="auto"/>
                  </w:divBdr>
                </w:div>
                <w:div w:id="2091733018">
                  <w:marLeft w:val="0"/>
                  <w:marRight w:val="0"/>
                  <w:marTop w:val="0"/>
                  <w:marBottom w:val="0"/>
                  <w:divBdr>
                    <w:top w:val="none" w:sz="0" w:space="0" w:color="auto"/>
                    <w:left w:val="none" w:sz="0" w:space="0" w:color="auto"/>
                    <w:bottom w:val="none" w:sz="0" w:space="0" w:color="auto"/>
                    <w:right w:val="none" w:sz="0" w:space="0" w:color="auto"/>
                  </w:divBdr>
                </w:div>
                <w:div w:id="285621890">
                  <w:marLeft w:val="0"/>
                  <w:marRight w:val="0"/>
                  <w:marTop w:val="0"/>
                  <w:marBottom w:val="0"/>
                  <w:divBdr>
                    <w:top w:val="none" w:sz="0" w:space="0" w:color="auto"/>
                    <w:left w:val="none" w:sz="0" w:space="0" w:color="auto"/>
                    <w:bottom w:val="none" w:sz="0" w:space="0" w:color="auto"/>
                    <w:right w:val="none" w:sz="0" w:space="0" w:color="auto"/>
                  </w:divBdr>
                </w:div>
                <w:div w:id="3915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yperkinetic-disorder" TargetMode="External"/><Relationship Id="rId13" Type="http://schemas.openxmlformats.org/officeDocument/2006/relationships/hyperlink" Target="https://www.sciencedirect.com/topics/medicine-and-dentistry/heredity" TargetMode="External"/><Relationship Id="rId3" Type="http://schemas.openxmlformats.org/officeDocument/2006/relationships/webSettings" Target="webSettings.xml"/><Relationship Id="rId7" Type="http://schemas.openxmlformats.org/officeDocument/2006/relationships/hyperlink" Target="https://www.sciencedirect.com/topics/medicine-and-dentistry/systematic-review" TargetMode="External"/><Relationship Id="rId12" Type="http://schemas.openxmlformats.org/officeDocument/2006/relationships/hyperlink" Target="https://www.sciencedirect.com/topics/medicine-and-dentistry/ato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neuroscience/attention-deficit-hyperactivity-disorder" TargetMode="External"/><Relationship Id="rId11" Type="http://schemas.openxmlformats.org/officeDocument/2006/relationships/hyperlink" Target="https://www.sciencedirect.com/topics/medicine-and-dentistry/vitamin-d" TargetMode="External"/><Relationship Id="rId5" Type="http://schemas.openxmlformats.org/officeDocument/2006/relationships/hyperlink" Target="https://s100.copyright.com/AppDispatchServlet?publisherName=ELS&amp;contentID=S2215036620303126&amp;orderBeanReset=true" TargetMode="External"/><Relationship Id="rId15" Type="http://schemas.openxmlformats.org/officeDocument/2006/relationships/theme" Target="theme/theme1.xml"/><Relationship Id="rId10" Type="http://schemas.openxmlformats.org/officeDocument/2006/relationships/hyperlink" Target="https://www.sciencedirect.com/topics/medicine-and-dentistry/paracetamol" TargetMode="External"/><Relationship Id="rId4" Type="http://schemas.openxmlformats.org/officeDocument/2006/relationships/hyperlink" Target="https://doi.org/10.1016/S2215-0366(20)30312-6" TargetMode="External"/><Relationship Id="rId9" Type="http://schemas.openxmlformats.org/officeDocument/2006/relationships/hyperlink" Target="https://www.sciencedirect.com/topics/medicine-and-dentistry/ecze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Labmanager</dc:creator>
  <cp:keywords/>
  <dc:description/>
  <cp:lastModifiedBy>Labmanager</cp:lastModifiedBy>
  <cp:revision>2</cp:revision>
  <dcterms:created xsi:type="dcterms:W3CDTF">2023-10-30T05:33:00Z</dcterms:created>
  <dcterms:modified xsi:type="dcterms:W3CDTF">2023-10-30T05:33:00Z</dcterms:modified>
</cp:coreProperties>
</file>